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52DB" w14:textId="77777777" w:rsidR="004C50F6" w:rsidRDefault="003525A5" w:rsidP="004C50F6">
      <w:pPr>
        <w:jc w:val="center"/>
      </w:pPr>
      <w:bookmarkStart w:id="0" w:name="_GoBack"/>
      <w:bookmarkEnd w:id="0"/>
      <w:r w:rsidRPr="003525A5">
        <w:rPr>
          <w:noProof/>
        </w:rPr>
        <w:drawing>
          <wp:inline distT="0" distB="0" distL="0" distR="0" wp14:anchorId="3B33A3A7" wp14:editId="471A1628">
            <wp:extent cx="1944624" cy="932688"/>
            <wp:effectExtent l="0" t="0" r="0" b="0"/>
            <wp:docPr id="74" name="AACSLogo_AddressBlock_1.09x2.37_300DPI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SLogo_AddressBlock_1.09x2.37_300DPI_color.jpg"/>
                    <pic:cNvPicPr/>
                  </pic:nvPicPr>
                  <pic:blipFill>
                    <a:blip r:link="rId11" cstate="print"/>
                    <a:stretch>
                      <a:fillRect/>
                    </a:stretch>
                  </pic:blipFill>
                  <pic:spPr>
                    <a:xfrm>
                      <a:off x="0" y="0"/>
                      <a:ext cx="1944624" cy="932688"/>
                    </a:xfrm>
                    <a:prstGeom prst="rect">
                      <a:avLst/>
                    </a:prstGeom>
                  </pic:spPr>
                </pic:pic>
              </a:graphicData>
            </a:graphic>
          </wp:inline>
        </w:drawing>
      </w:r>
    </w:p>
    <w:p w14:paraId="1F8144B2" w14:textId="77777777" w:rsidR="004C50F6" w:rsidRDefault="004C50F6" w:rsidP="004C50F6"/>
    <w:p w14:paraId="3D352FCA" w14:textId="77777777" w:rsidR="00D35EEB" w:rsidRPr="005D64A6" w:rsidRDefault="004C50F6" w:rsidP="003525A5">
      <w:pPr>
        <w:shd w:val="clear" w:color="auto" w:fill="00239C"/>
        <w:tabs>
          <w:tab w:val="center" w:pos="4680"/>
          <w:tab w:val="left" w:pos="5835"/>
          <w:tab w:val="left" w:pos="5895"/>
          <w:tab w:val="left" w:pos="5940"/>
          <w:tab w:val="left" w:pos="6225"/>
          <w:tab w:val="left" w:pos="6315"/>
          <w:tab w:val="left" w:pos="6510"/>
        </w:tabs>
        <w:jc w:val="center"/>
        <w:rPr>
          <w:b/>
          <w:color w:val="FFFFFF" w:themeColor="background1"/>
          <w:szCs w:val="24"/>
        </w:rPr>
      </w:pPr>
      <w:r>
        <w:rPr>
          <w:b/>
          <w:color w:val="FFFFFF" w:themeColor="background1"/>
          <w:szCs w:val="24"/>
        </w:rPr>
        <w:t xml:space="preserve">Board Policy </w:t>
      </w:r>
      <w:r w:rsidR="008B4DA5">
        <w:rPr>
          <w:b/>
          <w:color w:val="FFFFFF" w:themeColor="background1"/>
          <w:szCs w:val="24"/>
        </w:rPr>
        <w:t xml:space="preserve"> </w:t>
      </w:r>
      <w:r w:rsidR="004700CF">
        <w:rPr>
          <w:b/>
          <w:color w:val="FFFFFF" w:themeColor="background1"/>
          <w:szCs w:val="24"/>
        </w:rPr>
        <w:t>2.4.2</w:t>
      </w:r>
    </w:p>
    <w:p w14:paraId="3C772B07" w14:textId="77777777" w:rsidR="00554EA8" w:rsidRPr="00554EA8" w:rsidRDefault="004700CF" w:rsidP="004700CF">
      <w:pPr>
        <w:jc w:val="center"/>
        <w:rPr>
          <w:b/>
          <w:color w:val="000000"/>
          <w:sz w:val="36"/>
          <w:szCs w:val="36"/>
        </w:rPr>
      </w:pPr>
      <w:r>
        <w:rPr>
          <w:b/>
          <w:color w:val="000000"/>
          <w:sz w:val="36"/>
          <w:szCs w:val="36"/>
        </w:rPr>
        <w:t>Truancy/Mandatory Attendance Enforcement</w:t>
      </w:r>
    </w:p>
    <w:p w14:paraId="42BA92CB" w14:textId="77777777" w:rsidR="00D35EEB" w:rsidRDefault="00D35EEB" w:rsidP="00D35EEB">
      <w:pPr>
        <w:jc w:val="both"/>
        <w:rPr>
          <w:szCs w:val="24"/>
        </w:rPr>
      </w:pPr>
    </w:p>
    <w:p w14:paraId="0A9E5B21" w14:textId="77777777" w:rsidR="0016683B" w:rsidRDefault="0016683B" w:rsidP="0016683B">
      <w:pPr>
        <w:widowControl w:val="0"/>
        <w:tabs>
          <w:tab w:val="left" w:pos="429"/>
          <w:tab w:val="left" w:pos="879"/>
        </w:tabs>
        <w:jc w:val="both"/>
        <w:rPr>
          <w:rFonts w:cs="Times New Roman"/>
        </w:rPr>
      </w:pPr>
    </w:p>
    <w:p w14:paraId="781AAB3F" w14:textId="32D2A811" w:rsidR="004700CF" w:rsidRPr="004700CF" w:rsidRDefault="004700CF" w:rsidP="004700CF">
      <w:pPr>
        <w:jc w:val="both"/>
        <w:rPr>
          <w:rFonts w:cs="Times New Roman"/>
          <w:noProof/>
          <w:szCs w:val="24"/>
        </w:rPr>
      </w:pPr>
      <w:r>
        <w:rPr>
          <w:rFonts w:cs="Times New Roman"/>
          <w:noProof/>
          <w:szCs w:val="24"/>
        </w:rPr>
        <w:t>The Board recognizes that regular attendance is an important part of student success a</w:t>
      </w:r>
      <w:r w:rsidRPr="004700CF">
        <w:rPr>
          <w:rFonts w:cs="Times New Roman"/>
          <w:noProof/>
          <w:szCs w:val="24"/>
        </w:rPr>
        <w:t>nd that chronic absenteeism can have devastating effects on a student’s academic progress</w:t>
      </w:r>
      <w:r w:rsidR="001F5BC4">
        <w:rPr>
          <w:rFonts w:cs="Times New Roman"/>
          <w:noProof/>
          <w:szCs w:val="24"/>
        </w:rPr>
        <w:t>,</w:t>
      </w:r>
      <w:r w:rsidRPr="004700CF">
        <w:rPr>
          <w:rFonts w:cs="Times New Roman"/>
          <w:noProof/>
          <w:szCs w:val="24"/>
        </w:rPr>
        <w:t xml:space="preserve"> and can also negatively affect a student socially</w:t>
      </w:r>
      <w:r w:rsidR="001F5BC4">
        <w:rPr>
          <w:rFonts w:cs="Times New Roman"/>
          <w:noProof/>
          <w:szCs w:val="24"/>
        </w:rPr>
        <w:t>,</w:t>
      </w:r>
      <w:r w:rsidRPr="004700CF">
        <w:rPr>
          <w:rFonts w:cs="Times New Roman"/>
          <w:noProof/>
          <w:szCs w:val="24"/>
        </w:rPr>
        <w:t xml:space="preserve"> and can cause stress and anxiety for the absent student and his/her family.  The Board also recognizes that families dealing with chronic attendance issues may benefit from additional support to help them address the problem.  </w:t>
      </w:r>
    </w:p>
    <w:p w14:paraId="32287AD0" w14:textId="77777777" w:rsidR="004700CF" w:rsidRPr="004700CF" w:rsidRDefault="004700CF" w:rsidP="004700CF">
      <w:pPr>
        <w:jc w:val="both"/>
        <w:rPr>
          <w:rFonts w:cs="Times New Roman"/>
          <w:noProof/>
          <w:szCs w:val="24"/>
        </w:rPr>
      </w:pPr>
    </w:p>
    <w:p w14:paraId="55FC38D4" w14:textId="77777777" w:rsidR="004700CF" w:rsidRPr="004700CF" w:rsidRDefault="004700CF" w:rsidP="004700CF">
      <w:pPr>
        <w:rPr>
          <w:b/>
          <w:szCs w:val="24"/>
          <w:u w:val="single"/>
        </w:rPr>
      </w:pPr>
      <w:r w:rsidRPr="004700CF">
        <w:rPr>
          <w:b/>
          <w:szCs w:val="24"/>
          <w:u w:val="single"/>
        </w:rPr>
        <w:t>Purpose</w:t>
      </w:r>
    </w:p>
    <w:p w14:paraId="481D10DB" w14:textId="300E6FAF" w:rsidR="004700CF" w:rsidRPr="004700CF" w:rsidRDefault="004700CF" w:rsidP="004700CF">
      <w:pPr>
        <w:jc w:val="both"/>
        <w:rPr>
          <w:rFonts w:cs="Times New Roman"/>
          <w:noProof/>
          <w:szCs w:val="24"/>
        </w:rPr>
      </w:pPr>
    </w:p>
    <w:p w14:paraId="1E1C745B" w14:textId="77777777" w:rsidR="004700CF" w:rsidRPr="004700CF" w:rsidRDefault="004700CF" w:rsidP="004700CF">
      <w:pPr>
        <w:jc w:val="both"/>
        <w:rPr>
          <w:rFonts w:cs="Times New Roman"/>
          <w:noProof/>
          <w:szCs w:val="24"/>
        </w:rPr>
      </w:pPr>
      <w:r w:rsidRPr="004700CF">
        <w:rPr>
          <w:rFonts w:cs="Times New Roman"/>
          <w:noProof/>
          <w:szCs w:val="24"/>
        </w:rPr>
        <w:t xml:space="preserve">The Board intends for the processes and procedures used to combat truancy and comply with applicable mandatory attendance laws to be as supportive of the families as possible, utilizing referrals to the magistrate only as a last resort when other more collaborative, non-punitive options have not been successful.  </w:t>
      </w:r>
    </w:p>
    <w:p w14:paraId="44A895E2" w14:textId="77777777" w:rsidR="004700CF" w:rsidRPr="004700CF" w:rsidRDefault="004700CF" w:rsidP="004700CF">
      <w:pPr>
        <w:rPr>
          <w:b/>
          <w:szCs w:val="24"/>
          <w:u w:val="single"/>
        </w:rPr>
      </w:pPr>
    </w:p>
    <w:p w14:paraId="128ADC3E" w14:textId="77777777" w:rsidR="004700CF" w:rsidRPr="004700CF" w:rsidRDefault="004700CF" w:rsidP="004700CF">
      <w:pPr>
        <w:rPr>
          <w:b/>
          <w:szCs w:val="24"/>
          <w:u w:val="single"/>
        </w:rPr>
      </w:pPr>
      <w:r w:rsidRPr="004700CF">
        <w:rPr>
          <w:b/>
          <w:szCs w:val="24"/>
          <w:u w:val="single"/>
        </w:rPr>
        <w:t>Applicability</w:t>
      </w:r>
    </w:p>
    <w:p w14:paraId="742FE188" w14:textId="31B1166B" w:rsidR="004700CF" w:rsidRPr="004700CF" w:rsidRDefault="004700CF" w:rsidP="004700CF">
      <w:pPr>
        <w:rPr>
          <w:b/>
          <w:szCs w:val="24"/>
          <w:u w:val="single"/>
        </w:rPr>
      </w:pPr>
    </w:p>
    <w:p w14:paraId="6BEC0249" w14:textId="77777777" w:rsidR="004700CF" w:rsidRPr="004700CF" w:rsidRDefault="004700CF" w:rsidP="004700CF">
      <w:pPr>
        <w:jc w:val="both"/>
        <w:rPr>
          <w:rFonts w:cs="Times New Roman"/>
          <w:szCs w:val="24"/>
        </w:rPr>
      </w:pPr>
      <w:r w:rsidRPr="004700CF">
        <w:rPr>
          <w:rFonts w:cs="Times New Roman"/>
          <w:szCs w:val="24"/>
        </w:rPr>
        <w:t>This policy applies to all students of compulsory school age, which is the period of a child's life from the time the child's parents elect to have the child enter school age until the child reaches seventeen (17) years of age. This Policy does not apply to individuals who hold a certificate of graduation from a regularly accredited, licensed, registered or approved high school.</w:t>
      </w:r>
    </w:p>
    <w:p w14:paraId="5820894D" w14:textId="77777777" w:rsidR="004700CF" w:rsidRPr="004700CF" w:rsidRDefault="004700CF" w:rsidP="004700CF">
      <w:pPr>
        <w:rPr>
          <w:b/>
          <w:szCs w:val="24"/>
          <w:u w:val="single"/>
        </w:rPr>
      </w:pPr>
    </w:p>
    <w:p w14:paraId="734046A1" w14:textId="77777777" w:rsidR="004700CF" w:rsidRPr="004700CF" w:rsidRDefault="004700CF" w:rsidP="004700CF">
      <w:pPr>
        <w:rPr>
          <w:b/>
          <w:szCs w:val="24"/>
          <w:u w:val="single"/>
        </w:rPr>
      </w:pPr>
      <w:r w:rsidRPr="004700CF">
        <w:rPr>
          <w:b/>
          <w:szCs w:val="24"/>
          <w:u w:val="single"/>
        </w:rPr>
        <w:t>Delegation of Authority</w:t>
      </w:r>
    </w:p>
    <w:p w14:paraId="03E291C4" w14:textId="77777777" w:rsidR="004700CF" w:rsidRPr="004700CF" w:rsidRDefault="004700CF" w:rsidP="004700CF">
      <w:pPr>
        <w:rPr>
          <w:b/>
          <w:szCs w:val="24"/>
          <w:u w:val="single"/>
        </w:rPr>
      </w:pPr>
    </w:p>
    <w:p w14:paraId="25FEC8AC" w14:textId="77777777" w:rsidR="004700CF" w:rsidRPr="004700CF" w:rsidRDefault="004700CF" w:rsidP="004700CF">
      <w:pPr>
        <w:jc w:val="both"/>
        <w:rPr>
          <w:rFonts w:cs="Times New Roman"/>
          <w:szCs w:val="24"/>
        </w:rPr>
      </w:pPr>
      <w:r w:rsidRPr="004700CF">
        <w:rPr>
          <w:rFonts w:cs="Times New Roman"/>
          <w:szCs w:val="24"/>
        </w:rPr>
        <w:t xml:space="preserve">The </w:t>
      </w:r>
      <w:commentRangeStart w:id="1"/>
      <w:r w:rsidRPr="004700CF">
        <w:rPr>
          <w:rFonts w:cs="Times New Roman"/>
          <w:szCs w:val="24"/>
        </w:rPr>
        <w:t xml:space="preserve">Executive Director </w:t>
      </w:r>
      <w:commentRangeEnd w:id="1"/>
      <w:r w:rsidRPr="004700CF">
        <w:rPr>
          <w:rStyle w:val="CommentReference"/>
          <w:sz w:val="24"/>
          <w:szCs w:val="24"/>
        </w:rPr>
        <w:commentReference w:id="1"/>
      </w:r>
      <w:r w:rsidRPr="004700CF">
        <w:rPr>
          <w:rFonts w:cs="Times New Roman"/>
          <w:szCs w:val="24"/>
        </w:rPr>
        <w:t>or designee shall develop administrative regulations that set forth specific truancy procedures that are consistent with the law and with this Policy.  Each building principal shall be responsible for addressing truancy issues in his/her building through consistent implementation of this Policy and the administrative regulations promulgated pursuant to it.</w:t>
      </w:r>
    </w:p>
    <w:p w14:paraId="3A65385D" w14:textId="77777777" w:rsidR="004700CF" w:rsidRPr="004700CF" w:rsidRDefault="004700CF" w:rsidP="004700CF">
      <w:pPr>
        <w:rPr>
          <w:szCs w:val="24"/>
        </w:rPr>
      </w:pPr>
    </w:p>
    <w:p w14:paraId="5830255F" w14:textId="77777777" w:rsidR="004700CF" w:rsidRPr="004700CF" w:rsidRDefault="004700CF" w:rsidP="004700CF">
      <w:pPr>
        <w:rPr>
          <w:b/>
          <w:szCs w:val="24"/>
          <w:u w:val="single"/>
        </w:rPr>
      </w:pPr>
      <w:r w:rsidRPr="004700CF">
        <w:rPr>
          <w:b/>
          <w:szCs w:val="24"/>
          <w:u w:val="single"/>
        </w:rPr>
        <w:t>Definitions</w:t>
      </w:r>
    </w:p>
    <w:p w14:paraId="4A168255" w14:textId="77777777" w:rsidR="004700CF" w:rsidRPr="004700CF" w:rsidRDefault="004700CF" w:rsidP="004700CF">
      <w:pPr>
        <w:rPr>
          <w:b/>
          <w:szCs w:val="24"/>
          <w:u w:val="single"/>
        </w:rPr>
      </w:pPr>
    </w:p>
    <w:p w14:paraId="5C92C208" w14:textId="77777777" w:rsidR="004700CF" w:rsidRPr="004700CF" w:rsidRDefault="004700CF" w:rsidP="004700CF">
      <w:pPr>
        <w:pStyle w:val="ListParagraph"/>
        <w:numPr>
          <w:ilvl w:val="0"/>
          <w:numId w:val="15"/>
        </w:numPr>
        <w:spacing w:after="160" w:line="230" w:lineRule="auto"/>
        <w:jc w:val="both"/>
        <w:rPr>
          <w:rFonts w:cs="Times New Roman"/>
          <w:szCs w:val="24"/>
        </w:rPr>
      </w:pPr>
      <w:r w:rsidRPr="004700CF">
        <w:rPr>
          <w:rFonts w:cs="Times New Roman"/>
          <w:b/>
          <w:szCs w:val="24"/>
        </w:rPr>
        <w:t>"Person in parental relation"</w:t>
      </w:r>
      <w:r w:rsidRPr="004700CF">
        <w:rPr>
          <w:rFonts w:cs="Times New Roman"/>
          <w:szCs w:val="24"/>
        </w:rPr>
        <w:t xml:space="preserve"> shall mean a:</w:t>
      </w:r>
    </w:p>
    <w:p w14:paraId="052A8DDE" w14:textId="77777777" w:rsidR="004700CF" w:rsidRPr="004700CF" w:rsidRDefault="004700CF" w:rsidP="004700CF">
      <w:pPr>
        <w:spacing w:line="230" w:lineRule="auto"/>
        <w:ind w:left="720" w:firstLine="373"/>
        <w:jc w:val="both"/>
        <w:rPr>
          <w:rFonts w:cs="Times New Roman"/>
          <w:szCs w:val="24"/>
        </w:rPr>
      </w:pPr>
      <w:r w:rsidRPr="004700CF">
        <w:rPr>
          <w:rFonts w:cs="Times New Roman"/>
          <w:szCs w:val="24"/>
        </w:rPr>
        <w:t>(1) Custodial biological or adoptive parent.</w:t>
      </w:r>
    </w:p>
    <w:p w14:paraId="4C9132C6" w14:textId="77777777" w:rsidR="004700CF" w:rsidRPr="004700CF" w:rsidRDefault="004700CF" w:rsidP="004700CF">
      <w:pPr>
        <w:spacing w:line="230" w:lineRule="auto"/>
        <w:ind w:left="720" w:firstLine="373"/>
        <w:jc w:val="both"/>
        <w:rPr>
          <w:rFonts w:cs="Times New Roman"/>
          <w:szCs w:val="24"/>
        </w:rPr>
      </w:pPr>
      <w:r w:rsidRPr="004700CF">
        <w:rPr>
          <w:rFonts w:cs="Times New Roman"/>
          <w:szCs w:val="24"/>
        </w:rPr>
        <w:t>(2) Noncustodial biological or adoptive parent.</w:t>
      </w:r>
    </w:p>
    <w:p w14:paraId="7955A773" w14:textId="77777777" w:rsidR="004700CF" w:rsidRPr="004700CF" w:rsidRDefault="004700CF" w:rsidP="004700CF">
      <w:pPr>
        <w:spacing w:line="230" w:lineRule="auto"/>
        <w:ind w:left="720" w:firstLine="373"/>
        <w:jc w:val="both"/>
        <w:rPr>
          <w:rFonts w:cs="Times New Roman"/>
          <w:szCs w:val="24"/>
        </w:rPr>
      </w:pPr>
      <w:r w:rsidRPr="004700CF">
        <w:rPr>
          <w:rFonts w:cs="Times New Roman"/>
          <w:szCs w:val="24"/>
        </w:rPr>
        <w:t>(3) Guardian of the person of a child.</w:t>
      </w:r>
    </w:p>
    <w:p w14:paraId="6605D897" w14:textId="77777777" w:rsidR="004700CF" w:rsidRPr="004700CF" w:rsidRDefault="004700CF" w:rsidP="004700CF">
      <w:pPr>
        <w:spacing w:line="230" w:lineRule="auto"/>
        <w:ind w:left="720" w:firstLine="373"/>
        <w:jc w:val="both"/>
        <w:rPr>
          <w:rFonts w:cs="Times New Roman"/>
          <w:szCs w:val="24"/>
        </w:rPr>
      </w:pPr>
      <w:r w:rsidRPr="004700CF">
        <w:rPr>
          <w:rFonts w:cs="Times New Roman"/>
          <w:szCs w:val="24"/>
        </w:rPr>
        <w:t>(4) Person with whom a child lives and who is acting in a parental role of a child.</w:t>
      </w:r>
    </w:p>
    <w:p w14:paraId="095315C4" w14:textId="7E5CBE93" w:rsidR="004700CF" w:rsidRDefault="004700CF" w:rsidP="004700CF">
      <w:pPr>
        <w:pStyle w:val="ListParagraph"/>
        <w:numPr>
          <w:ilvl w:val="0"/>
          <w:numId w:val="15"/>
        </w:numPr>
        <w:spacing w:after="160" w:line="230" w:lineRule="auto"/>
        <w:jc w:val="both"/>
        <w:rPr>
          <w:rFonts w:cs="Times New Roman"/>
          <w:szCs w:val="24"/>
        </w:rPr>
      </w:pPr>
      <w:r w:rsidRPr="004700CF">
        <w:rPr>
          <w:rFonts w:cs="Times New Roman"/>
          <w:b/>
          <w:szCs w:val="24"/>
        </w:rPr>
        <w:lastRenderedPageBreak/>
        <w:t>"Attendance improvement program"</w:t>
      </w:r>
      <w:r w:rsidRPr="004700CF">
        <w:rPr>
          <w:rFonts w:cs="Times New Roman"/>
          <w:szCs w:val="24"/>
        </w:rPr>
        <w:t xml:space="preserve"> shall mean a program designed to improve school attendance by seeking to identify and address the underlying reasons for a child's absences. The term may include an educational assignment in an alternative education program, provided the program does not include a program for disruptive youth established pursuant to Article XIX-C of the Pa School Code</w:t>
      </w:r>
      <w:r w:rsidR="0098334D">
        <w:rPr>
          <w:rFonts w:cs="Times New Roman"/>
          <w:szCs w:val="24"/>
        </w:rPr>
        <w:t>.</w:t>
      </w:r>
    </w:p>
    <w:p w14:paraId="3FCB893D" w14:textId="77777777" w:rsidR="0098334D" w:rsidRPr="004700CF" w:rsidRDefault="0098334D" w:rsidP="0098334D">
      <w:pPr>
        <w:pStyle w:val="ListParagraph"/>
        <w:spacing w:after="160" w:line="230" w:lineRule="auto"/>
        <w:jc w:val="both"/>
        <w:rPr>
          <w:rFonts w:cs="Times New Roman"/>
          <w:szCs w:val="24"/>
        </w:rPr>
      </w:pPr>
    </w:p>
    <w:p w14:paraId="5376ABCF" w14:textId="77777777" w:rsidR="004700CF" w:rsidRPr="004700CF" w:rsidRDefault="004700CF" w:rsidP="004700CF">
      <w:pPr>
        <w:pStyle w:val="ListParagraph"/>
        <w:numPr>
          <w:ilvl w:val="0"/>
          <w:numId w:val="15"/>
        </w:numPr>
        <w:spacing w:after="160" w:line="230" w:lineRule="auto"/>
        <w:jc w:val="both"/>
        <w:rPr>
          <w:rFonts w:cs="Times New Roman"/>
          <w:szCs w:val="24"/>
        </w:rPr>
      </w:pPr>
      <w:r w:rsidRPr="004700CF">
        <w:rPr>
          <w:rFonts w:cs="Times New Roman"/>
          <w:b/>
          <w:szCs w:val="24"/>
        </w:rPr>
        <w:t>"Truant/Truancy"</w:t>
      </w:r>
      <w:r w:rsidRPr="004700CF">
        <w:rPr>
          <w:rFonts w:cs="Times New Roman"/>
          <w:szCs w:val="24"/>
        </w:rPr>
        <w:t xml:space="preserve"> occurs where a student has accrued three (3) or more school days of unexcused absences during the current school year.</w:t>
      </w:r>
    </w:p>
    <w:p w14:paraId="0AAA1977" w14:textId="77777777" w:rsidR="004700CF" w:rsidRPr="004700CF" w:rsidRDefault="004700CF" w:rsidP="004700CF">
      <w:pPr>
        <w:pStyle w:val="ListParagraph"/>
        <w:spacing w:line="230" w:lineRule="auto"/>
        <w:jc w:val="both"/>
        <w:rPr>
          <w:rFonts w:cs="Times New Roman"/>
          <w:szCs w:val="24"/>
        </w:rPr>
      </w:pPr>
    </w:p>
    <w:p w14:paraId="3A9FA7F9" w14:textId="77777777" w:rsidR="004700CF" w:rsidRPr="004700CF" w:rsidRDefault="004700CF" w:rsidP="004700CF">
      <w:pPr>
        <w:pStyle w:val="ListParagraph"/>
        <w:numPr>
          <w:ilvl w:val="0"/>
          <w:numId w:val="15"/>
        </w:numPr>
        <w:spacing w:after="160" w:line="230" w:lineRule="auto"/>
        <w:jc w:val="both"/>
        <w:rPr>
          <w:rFonts w:cs="Times New Roman"/>
          <w:szCs w:val="24"/>
        </w:rPr>
      </w:pPr>
      <w:r w:rsidRPr="004700CF">
        <w:rPr>
          <w:rFonts w:cs="Times New Roman"/>
          <w:b/>
          <w:szCs w:val="24"/>
        </w:rPr>
        <w:t>“Habitually Truant/Habitual Truancy”</w:t>
      </w:r>
      <w:r w:rsidRPr="004700CF">
        <w:rPr>
          <w:rFonts w:cs="Times New Roman"/>
          <w:szCs w:val="24"/>
        </w:rPr>
        <w:t xml:space="preserve"> occurs where a student has accrued six (6) or more school days of unexcused absences during the current school year.</w:t>
      </w:r>
    </w:p>
    <w:p w14:paraId="19FBC8B6" w14:textId="77777777" w:rsidR="004700CF" w:rsidRPr="004700CF" w:rsidRDefault="004700CF" w:rsidP="004700CF">
      <w:pPr>
        <w:pStyle w:val="ListParagraph"/>
        <w:spacing w:line="230" w:lineRule="auto"/>
        <w:jc w:val="both"/>
        <w:rPr>
          <w:rFonts w:cs="Times New Roman"/>
          <w:szCs w:val="24"/>
        </w:rPr>
      </w:pPr>
    </w:p>
    <w:p w14:paraId="6B4FAC01" w14:textId="0DBF4E71" w:rsidR="004700CF" w:rsidRPr="004700CF" w:rsidRDefault="004700CF" w:rsidP="004700CF">
      <w:pPr>
        <w:pStyle w:val="ListParagraph"/>
        <w:numPr>
          <w:ilvl w:val="0"/>
          <w:numId w:val="15"/>
        </w:numPr>
        <w:spacing w:after="160" w:line="230" w:lineRule="auto"/>
        <w:jc w:val="both"/>
        <w:rPr>
          <w:rFonts w:cs="Times New Roman"/>
          <w:szCs w:val="24"/>
        </w:rPr>
      </w:pPr>
      <w:r w:rsidRPr="004700CF">
        <w:rPr>
          <w:rFonts w:cs="Times New Roman"/>
          <w:b/>
          <w:szCs w:val="24"/>
        </w:rPr>
        <w:t>"Unexcused absence"</w:t>
      </w:r>
      <w:r w:rsidRPr="004700CF">
        <w:rPr>
          <w:rFonts w:cs="Times New Roman"/>
          <w:szCs w:val="24"/>
        </w:rPr>
        <w:t xml:space="preserve"> shall mean an absence from school which</w:t>
      </w:r>
      <w:r w:rsidR="0098334D">
        <w:rPr>
          <w:rFonts w:cs="Times New Roman"/>
          <w:szCs w:val="24"/>
        </w:rPr>
        <w:t xml:space="preserve"> is not permitted by Board Policy 2.</w:t>
      </w:r>
      <w:r w:rsidRPr="004700CF">
        <w:rPr>
          <w:rFonts w:cs="Times New Roman"/>
          <w:szCs w:val="24"/>
        </w:rPr>
        <w:t xml:space="preserve">4 (Attendance) or for which an approved explanation has not been submitted within the time period and in the manner prescribed by Board and/or by the Superintendent or designee through administrative regulations. </w:t>
      </w:r>
    </w:p>
    <w:p w14:paraId="6A86A3E9" w14:textId="77777777" w:rsidR="004700CF" w:rsidRPr="004700CF" w:rsidRDefault="004700CF" w:rsidP="004700CF">
      <w:pPr>
        <w:rPr>
          <w:b/>
          <w:szCs w:val="24"/>
          <w:u w:val="single"/>
        </w:rPr>
      </w:pPr>
      <w:r w:rsidRPr="004700CF">
        <w:rPr>
          <w:b/>
          <w:szCs w:val="24"/>
          <w:u w:val="single"/>
        </w:rPr>
        <w:t>Procedures</w:t>
      </w:r>
    </w:p>
    <w:p w14:paraId="3FB48FA0" w14:textId="2FEAE954" w:rsidR="004700CF" w:rsidRPr="004700CF" w:rsidRDefault="004700CF" w:rsidP="004700CF">
      <w:pPr>
        <w:jc w:val="both"/>
        <w:rPr>
          <w:rFonts w:cs="Times New Roman"/>
          <w:szCs w:val="24"/>
        </w:rPr>
      </w:pPr>
      <w:r w:rsidRPr="004700CF">
        <w:rPr>
          <w:rFonts w:cs="Times New Roman"/>
          <w:szCs w:val="24"/>
        </w:rPr>
        <w:t xml:space="preserve">Pursuant to law, </w:t>
      </w:r>
      <w:r w:rsidR="001D0563">
        <w:rPr>
          <w:rFonts w:cs="Times New Roman"/>
          <w:szCs w:val="24"/>
        </w:rPr>
        <w:t xml:space="preserve">AACS </w:t>
      </w:r>
      <w:r w:rsidRPr="004700CF">
        <w:rPr>
          <w:rFonts w:cs="Times New Roman"/>
          <w:szCs w:val="24"/>
        </w:rPr>
        <w:t>shall provide written notification to the “person in parental relation to the student,” as defined, above, in cases where a student has accrued three (3) unexcused absences.</w:t>
      </w:r>
      <w:r w:rsidR="001D0563">
        <w:rPr>
          <w:rFonts w:cs="Times New Roman"/>
          <w:szCs w:val="24"/>
        </w:rPr>
        <w:t xml:space="preserve">  The Executive Director or designee must also notify the student’s school district of residence.</w:t>
      </w:r>
    </w:p>
    <w:p w14:paraId="36242DF8" w14:textId="77777777" w:rsidR="00970429" w:rsidRDefault="00970429" w:rsidP="00970429">
      <w:pPr>
        <w:spacing w:line="230" w:lineRule="auto"/>
        <w:jc w:val="both"/>
        <w:rPr>
          <w:rFonts w:cs="Times New Roman"/>
          <w:szCs w:val="24"/>
        </w:rPr>
      </w:pPr>
    </w:p>
    <w:p w14:paraId="0CF6BDFA" w14:textId="1D2F2ED4" w:rsidR="004700CF" w:rsidRPr="004700CF" w:rsidRDefault="004700CF" w:rsidP="00970429">
      <w:pPr>
        <w:spacing w:line="230" w:lineRule="auto"/>
        <w:jc w:val="both"/>
        <w:rPr>
          <w:rFonts w:cs="Times New Roman"/>
          <w:szCs w:val="24"/>
        </w:rPr>
      </w:pPr>
      <w:r w:rsidRPr="004700CF">
        <w:rPr>
          <w:rFonts w:cs="Times New Roman"/>
          <w:szCs w:val="24"/>
        </w:rPr>
        <w:t>Once the notice has been issued, where a student continues to accrue unexcused absences, a School Attendance Improvement Conference (SAIC) will be held.  This is a conference to discuss where the child's absences and reasons for the absences are examined in an effort to improve attendance, with or without additional services. The following individuals shall be invited to the conference:</w:t>
      </w:r>
    </w:p>
    <w:p w14:paraId="70E2D2EB" w14:textId="77777777" w:rsidR="004700CF" w:rsidRPr="004700CF" w:rsidRDefault="004700CF" w:rsidP="004700CF">
      <w:pPr>
        <w:spacing w:line="230" w:lineRule="auto"/>
        <w:ind w:firstLine="373"/>
        <w:jc w:val="both"/>
        <w:rPr>
          <w:rFonts w:cs="Times New Roman"/>
          <w:szCs w:val="24"/>
        </w:rPr>
      </w:pPr>
      <w:r w:rsidRPr="004700CF">
        <w:rPr>
          <w:rFonts w:cs="Times New Roman"/>
          <w:szCs w:val="24"/>
        </w:rPr>
        <w:t>(1)  The child.</w:t>
      </w:r>
    </w:p>
    <w:p w14:paraId="48C27CED" w14:textId="77777777" w:rsidR="004700CF" w:rsidRPr="004700CF" w:rsidRDefault="004700CF" w:rsidP="004700CF">
      <w:pPr>
        <w:spacing w:line="230" w:lineRule="auto"/>
        <w:ind w:firstLine="373"/>
        <w:jc w:val="both"/>
        <w:rPr>
          <w:rFonts w:cs="Times New Roman"/>
          <w:szCs w:val="24"/>
        </w:rPr>
      </w:pPr>
      <w:r w:rsidRPr="004700CF">
        <w:rPr>
          <w:rFonts w:cs="Times New Roman"/>
          <w:szCs w:val="24"/>
        </w:rPr>
        <w:t>(2)  The child's “person in parental relation,” as defined, above.</w:t>
      </w:r>
    </w:p>
    <w:p w14:paraId="683F7E2A" w14:textId="77777777" w:rsidR="004700CF" w:rsidRPr="004700CF" w:rsidRDefault="004700CF" w:rsidP="004700CF">
      <w:pPr>
        <w:spacing w:line="230" w:lineRule="auto"/>
        <w:ind w:firstLine="373"/>
        <w:jc w:val="both"/>
        <w:rPr>
          <w:rFonts w:cs="Times New Roman"/>
          <w:szCs w:val="24"/>
        </w:rPr>
      </w:pPr>
      <w:r w:rsidRPr="004700CF">
        <w:rPr>
          <w:rFonts w:cs="Times New Roman"/>
          <w:szCs w:val="24"/>
        </w:rPr>
        <w:t>(3)  Other individuals identified by the person in parental relation who may be a resource.</w:t>
      </w:r>
    </w:p>
    <w:p w14:paraId="66D80AF0" w14:textId="77777777" w:rsidR="004700CF" w:rsidRPr="004700CF" w:rsidRDefault="004700CF" w:rsidP="004700CF">
      <w:pPr>
        <w:spacing w:line="230" w:lineRule="auto"/>
        <w:ind w:firstLine="373"/>
        <w:jc w:val="both"/>
        <w:rPr>
          <w:rFonts w:cs="Times New Roman"/>
          <w:szCs w:val="24"/>
        </w:rPr>
      </w:pPr>
      <w:r w:rsidRPr="004700CF">
        <w:rPr>
          <w:rFonts w:cs="Times New Roman"/>
          <w:szCs w:val="24"/>
        </w:rPr>
        <w:t>(4)  Appropriate school personnel.</w:t>
      </w:r>
    </w:p>
    <w:p w14:paraId="092898CB" w14:textId="77777777" w:rsidR="004700CF" w:rsidRPr="004700CF" w:rsidRDefault="004700CF" w:rsidP="004700CF">
      <w:pPr>
        <w:spacing w:line="230" w:lineRule="auto"/>
        <w:ind w:firstLine="373"/>
        <w:jc w:val="both"/>
        <w:rPr>
          <w:rFonts w:cs="Times New Roman"/>
          <w:szCs w:val="24"/>
        </w:rPr>
      </w:pPr>
      <w:r w:rsidRPr="004700CF">
        <w:rPr>
          <w:rFonts w:cs="Times New Roman"/>
          <w:szCs w:val="24"/>
        </w:rPr>
        <w:t>(5)  Recommended service providers.</w:t>
      </w:r>
    </w:p>
    <w:p w14:paraId="600DE177" w14:textId="77777777" w:rsidR="00722F77" w:rsidRDefault="00722F77" w:rsidP="004700CF">
      <w:pPr>
        <w:jc w:val="both"/>
        <w:rPr>
          <w:rFonts w:cs="Times New Roman"/>
          <w:szCs w:val="24"/>
        </w:rPr>
      </w:pPr>
    </w:p>
    <w:p w14:paraId="735C8143" w14:textId="51CA7D91" w:rsidR="004700CF" w:rsidRDefault="004700CF" w:rsidP="00C50AA7">
      <w:pPr>
        <w:jc w:val="both"/>
        <w:rPr>
          <w:rFonts w:cs="Times New Roman"/>
          <w:szCs w:val="24"/>
        </w:rPr>
      </w:pPr>
      <w:r w:rsidRPr="004700CF">
        <w:rPr>
          <w:rFonts w:cs="Times New Roman"/>
          <w:szCs w:val="24"/>
        </w:rPr>
        <w:t>The outcome of this conference will be documented in a School Attendance Improvement Plan.</w:t>
      </w:r>
      <w:r w:rsidR="001D0563">
        <w:rPr>
          <w:rFonts w:cs="Times New Roman"/>
          <w:szCs w:val="24"/>
        </w:rPr>
        <w:t xml:space="preserve">  </w:t>
      </w:r>
      <w:r w:rsidRPr="004700CF">
        <w:rPr>
          <w:rFonts w:cs="Times New Roman"/>
          <w:szCs w:val="24"/>
        </w:rPr>
        <w:t>Students who accrue six (6) or more unexcused absences are considered “habitually truant” under the law.  Once the SAIC has been held</w:t>
      </w:r>
      <w:r w:rsidR="001C5F98">
        <w:rPr>
          <w:rFonts w:cs="Times New Roman"/>
          <w:szCs w:val="24"/>
        </w:rPr>
        <w:t xml:space="preserve">, if a student </w:t>
      </w:r>
      <w:r w:rsidRPr="004700CF">
        <w:rPr>
          <w:rFonts w:cs="Times New Roman"/>
          <w:szCs w:val="24"/>
        </w:rPr>
        <w:t xml:space="preserve">reaches six (6) or more unexcused absences, the student is considered “habitually truant” pursuant to the law, and </w:t>
      </w:r>
      <w:r w:rsidR="00DD3D80">
        <w:rPr>
          <w:rFonts w:cs="Times New Roman"/>
          <w:szCs w:val="24"/>
        </w:rPr>
        <w:t>AACS</w:t>
      </w:r>
      <w:r w:rsidRPr="004700CF">
        <w:rPr>
          <w:rFonts w:cs="Times New Roman"/>
          <w:szCs w:val="24"/>
        </w:rPr>
        <w:t xml:space="preserve"> shall take further action which will include one or more of the following, as permitted by law: </w:t>
      </w:r>
    </w:p>
    <w:p w14:paraId="6328FEC6" w14:textId="77777777" w:rsidR="001D0563" w:rsidRPr="004700CF" w:rsidRDefault="001D0563" w:rsidP="00C50AA7">
      <w:pPr>
        <w:jc w:val="both"/>
        <w:rPr>
          <w:rFonts w:cs="Times New Roman"/>
          <w:szCs w:val="24"/>
        </w:rPr>
      </w:pPr>
    </w:p>
    <w:p w14:paraId="3ED7D902" w14:textId="77777777" w:rsidR="004700CF" w:rsidRPr="004700CF" w:rsidRDefault="004700CF" w:rsidP="004700CF">
      <w:pPr>
        <w:pStyle w:val="ListParagraph"/>
        <w:numPr>
          <w:ilvl w:val="0"/>
          <w:numId w:val="16"/>
        </w:numPr>
        <w:spacing w:after="200"/>
        <w:jc w:val="both"/>
        <w:rPr>
          <w:rFonts w:cs="Times New Roman"/>
          <w:szCs w:val="24"/>
        </w:rPr>
      </w:pPr>
      <w:r w:rsidRPr="004700CF">
        <w:rPr>
          <w:rFonts w:cs="Times New Roman"/>
          <w:szCs w:val="24"/>
        </w:rPr>
        <w:t xml:space="preserve">referral to an attendance improvement program, </w:t>
      </w:r>
    </w:p>
    <w:p w14:paraId="79ACEA54" w14:textId="77777777" w:rsidR="004700CF" w:rsidRPr="004700CF" w:rsidRDefault="004700CF" w:rsidP="004700CF">
      <w:pPr>
        <w:pStyle w:val="ListParagraph"/>
        <w:numPr>
          <w:ilvl w:val="0"/>
          <w:numId w:val="16"/>
        </w:numPr>
        <w:spacing w:after="200"/>
        <w:jc w:val="both"/>
        <w:rPr>
          <w:rFonts w:eastAsia="Calibri" w:cs="Times New Roman"/>
          <w:szCs w:val="24"/>
        </w:rPr>
      </w:pPr>
      <w:r w:rsidRPr="004700CF">
        <w:rPr>
          <w:rFonts w:cs="Times New Roman"/>
          <w:szCs w:val="24"/>
        </w:rPr>
        <w:t xml:space="preserve">referral to </w:t>
      </w:r>
      <w:r w:rsidRPr="004700CF">
        <w:rPr>
          <w:rFonts w:eastAsia="Calibri" w:cs="Times New Roman"/>
          <w:szCs w:val="24"/>
        </w:rPr>
        <w:t xml:space="preserve">the county children and youth agency (CYS) for services or possible disposition as a dependent child under the Juvenile Act, </w:t>
      </w:r>
    </w:p>
    <w:p w14:paraId="79A69917" w14:textId="77777777" w:rsidR="004700CF" w:rsidRPr="004700CF" w:rsidRDefault="004700CF" w:rsidP="004700CF">
      <w:pPr>
        <w:pStyle w:val="ListParagraph"/>
        <w:numPr>
          <w:ilvl w:val="0"/>
          <w:numId w:val="16"/>
        </w:numPr>
        <w:spacing w:after="200"/>
        <w:jc w:val="both"/>
        <w:rPr>
          <w:rFonts w:eastAsia="Calibri" w:cs="Times New Roman"/>
          <w:szCs w:val="24"/>
        </w:rPr>
      </w:pPr>
      <w:r w:rsidRPr="004700CF">
        <w:rPr>
          <w:rFonts w:eastAsia="Calibri" w:cs="Times New Roman"/>
          <w:szCs w:val="24"/>
        </w:rPr>
        <w:t xml:space="preserve">formal filing of a truancy action with the magisterial district court.  </w:t>
      </w:r>
    </w:p>
    <w:p w14:paraId="6DE66813" w14:textId="109A281B" w:rsidR="0016683B" w:rsidRPr="004700CF" w:rsidRDefault="004700CF" w:rsidP="00D35EEB">
      <w:pPr>
        <w:jc w:val="both"/>
        <w:rPr>
          <w:szCs w:val="24"/>
        </w:rPr>
      </w:pPr>
      <w:r w:rsidRPr="004700CF">
        <w:rPr>
          <w:rFonts w:cs="Times New Roman"/>
          <w:szCs w:val="24"/>
        </w:rPr>
        <w:t>Formal filing of truancy charges with the magis</w:t>
      </w:r>
      <w:r w:rsidR="001C5F98">
        <w:rPr>
          <w:rFonts w:cs="Times New Roman"/>
          <w:szCs w:val="24"/>
        </w:rPr>
        <w:t xml:space="preserve">terial district court shall </w:t>
      </w:r>
      <w:r w:rsidRPr="004700CF">
        <w:rPr>
          <w:rFonts w:cs="Times New Roman"/>
          <w:szCs w:val="24"/>
        </w:rPr>
        <w:t>be utilized only where the School Attendance Improvement Conference / School Attendance Improvement Plan have been unsuccessful and, for students under the age of 15, where at least one other alternative option has been attempted and has been unsuccessful in resolving the truancy issue.</w:t>
      </w:r>
    </w:p>
    <w:sectPr w:rsidR="0016683B" w:rsidRPr="004700CF" w:rsidSect="00A124FD">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ynch, Shawn" w:date="2017-05-22T13:07:00Z" w:initials="LS">
    <w:p w14:paraId="6505B00E" w14:textId="77777777" w:rsidR="004700CF" w:rsidRDefault="004700CF" w:rsidP="004700CF">
      <w:pPr>
        <w:pStyle w:val="CommentText"/>
      </w:pPr>
      <w:r>
        <w:rPr>
          <w:rStyle w:val="CommentReference"/>
        </w:rPr>
        <w:annotationRef/>
      </w:r>
      <w:r>
        <w:t xml:space="preserve">Changed from Superintendent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5B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5B00E" w16cid:durableId="23CD1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A32E" w14:textId="77777777" w:rsidR="00CB23DA" w:rsidRDefault="00CB23DA" w:rsidP="00B10B69">
      <w:r>
        <w:separator/>
      </w:r>
    </w:p>
  </w:endnote>
  <w:endnote w:type="continuationSeparator" w:id="0">
    <w:p w14:paraId="2B11E072" w14:textId="77777777" w:rsidR="00CB23DA" w:rsidRDefault="00CB23DA" w:rsidP="00B1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3EE37" w14:textId="77777777" w:rsidR="00CB23DA" w:rsidRDefault="00CB23DA" w:rsidP="00B10B69">
      <w:r>
        <w:separator/>
      </w:r>
    </w:p>
  </w:footnote>
  <w:footnote w:type="continuationSeparator" w:id="0">
    <w:p w14:paraId="4BA094BD" w14:textId="77777777" w:rsidR="00CB23DA" w:rsidRDefault="00CB23DA" w:rsidP="00B1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85" w:type="dxa"/>
      <w:tblLook w:val="04A0" w:firstRow="1" w:lastRow="0" w:firstColumn="1" w:lastColumn="0" w:noHBand="0" w:noVBand="1"/>
    </w:tblPr>
    <w:tblGrid>
      <w:gridCol w:w="1647"/>
      <w:gridCol w:w="1318"/>
    </w:tblGrid>
    <w:tr w:rsidR="005E3008" w14:paraId="7D2ACAF2" w14:textId="77777777" w:rsidTr="000A3B29">
      <w:tc>
        <w:tcPr>
          <w:tcW w:w="1647" w:type="dxa"/>
        </w:tcPr>
        <w:p w14:paraId="06EB040B" w14:textId="77777777" w:rsidR="005E3008" w:rsidRPr="005E3008" w:rsidRDefault="005E3008">
          <w:pPr>
            <w:pStyle w:val="Header"/>
            <w:rPr>
              <w:rFonts w:asciiTheme="minorHAnsi" w:hAnsiTheme="minorHAnsi"/>
              <w:sz w:val="20"/>
              <w:szCs w:val="20"/>
            </w:rPr>
          </w:pPr>
          <w:r>
            <w:rPr>
              <w:rFonts w:asciiTheme="minorHAnsi" w:hAnsiTheme="minorHAnsi"/>
              <w:sz w:val="20"/>
              <w:szCs w:val="20"/>
            </w:rPr>
            <w:t>Adoption Date:</w:t>
          </w:r>
        </w:p>
      </w:tc>
      <w:tc>
        <w:tcPr>
          <w:tcW w:w="1318" w:type="dxa"/>
        </w:tcPr>
        <w:p w14:paraId="0106CE73" w14:textId="1A4E1A8C" w:rsidR="005E3008" w:rsidRPr="004F1111" w:rsidRDefault="00C278F8">
          <w:pPr>
            <w:pStyle w:val="Header"/>
            <w:rPr>
              <w:rFonts w:asciiTheme="minorHAnsi" w:hAnsiTheme="minorHAnsi"/>
              <w:sz w:val="20"/>
              <w:szCs w:val="20"/>
            </w:rPr>
          </w:pPr>
          <w:r>
            <w:rPr>
              <w:rFonts w:asciiTheme="minorHAnsi" w:hAnsiTheme="minorHAnsi"/>
              <w:sz w:val="20"/>
              <w:szCs w:val="20"/>
            </w:rPr>
            <w:t>06/19/2017</w:t>
          </w:r>
        </w:p>
      </w:tc>
    </w:tr>
    <w:tr w:rsidR="005E3008" w14:paraId="345B02D7" w14:textId="77777777" w:rsidTr="000A3B29">
      <w:tc>
        <w:tcPr>
          <w:tcW w:w="1647" w:type="dxa"/>
        </w:tcPr>
        <w:p w14:paraId="6DB89674" w14:textId="77777777" w:rsidR="005E3008" w:rsidRDefault="005E3008">
          <w:pPr>
            <w:pStyle w:val="Header"/>
            <w:rPr>
              <w:rFonts w:asciiTheme="minorHAnsi" w:hAnsiTheme="minorHAnsi"/>
              <w:sz w:val="20"/>
              <w:szCs w:val="20"/>
            </w:rPr>
          </w:pPr>
          <w:r>
            <w:rPr>
              <w:rFonts w:asciiTheme="minorHAnsi" w:hAnsiTheme="minorHAnsi"/>
              <w:sz w:val="20"/>
              <w:szCs w:val="20"/>
            </w:rPr>
            <w:t>Revision Date(s):</w:t>
          </w:r>
        </w:p>
        <w:p w14:paraId="5D70E523" w14:textId="77777777" w:rsidR="005E3008" w:rsidRPr="005E3008" w:rsidRDefault="005E3008">
          <w:pPr>
            <w:pStyle w:val="Header"/>
            <w:rPr>
              <w:rFonts w:asciiTheme="minorHAnsi" w:hAnsiTheme="minorHAnsi"/>
              <w:sz w:val="20"/>
              <w:szCs w:val="20"/>
            </w:rPr>
          </w:pPr>
        </w:p>
      </w:tc>
      <w:tc>
        <w:tcPr>
          <w:tcW w:w="1318" w:type="dxa"/>
        </w:tcPr>
        <w:p w14:paraId="4F135970" w14:textId="6A0F7A35" w:rsidR="005E3008" w:rsidRPr="00C50AA7" w:rsidRDefault="00DD3D80">
          <w:pPr>
            <w:pStyle w:val="Header"/>
            <w:rPr>
              <w:rFonts w:asciiTheme="minorHAnsi" w:hAnsiTheme="minorHAnsi"/>
              <w:sz w:val="20"/>
              <w:szCs w:val="20"/>
            </w:rPr>
          </w:pPr>
          <w:r w:rsidRPr="00C50AA7">
            <w:rPr>
              <w:rFonts w:asciiTheme="minorHAnsi" w:hAnsiTheme="minorHAnsi"/>
              <w:sz w:val="20"/>
              <w:szCs w:val="20"/>
            </w:rPr>
            <w:t>05/21/2018</w:t>
          </w:r>
        </w:p>
      </w:tc>
    </w:tr>
  </w:tbl>
  <w:p w14:paraId="2288D430" w14:textId="77777777" w:rsidR="005E3008" w:rsidRDefault="005E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9F7"/>
    <w:multiLevelType w:val="hybridMultilevel"/>
    <w:tmpl w:val="3CAA9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65DC"/>
    <w:multiLevelType w:val="hybridMultilevel"/>
    <w:tmpl w:val="B5027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67C00"/>
    <w:multiLevelType w:val="hybridMultilevel"/>
    <w:tmpl w:val="C3ECD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23180"/>
    <w:multiLevelType w:val="hybridMultilevel"/>
    <w:tmpl w:val="AE96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21839"/>
    <w:multiLevelType w:val="hybridMultilevel"/>
    <w:tmpl w:val="D4764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B73D8A"/>
    <w:multiLevelType w:val="hybridMultilevel"/>
    <w:tmpl w:val="1CD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44159"/>
    <w:multiLevelType w:val="hybridMultilevel"/>
    <w:tmpl w:val="75D8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24C7B"/>
    <w:multiLevelType w:val="hybridMultilevel"/>
    <w:tmpl w:val="2BAAA588"/>
    <w:lvl w:ilvl="0" w:tplc="7388B70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525139FB"/>
    <w:multiLevelType w:val="hybridMultilevel"/>
    <w:tmpl w:val="DA7C44BE"/>
    <w:lvl w:ilvl="0" w:tplc="909E8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84141"/>
    <w:multiLevelType w:val="hybridMultilevel"/>
    <w:tmpl w:val="38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A6F34"/>
    <w:multiLevelType w:val="hybridMultilevel"/>
    <w:tmpl w:val="5A54B58A"/>
    <w:lvl w:ilvl="0" w:tplc="23443356">
      <w:start w:val="1"/>
      <w:numFmt w:val="upperLetter"/>
      <w:lvlText w:val="%1."/>
      <w:lvlJc w:val="left"/>
      <w:pPr>
        <w:ind w:left="810" w:hanging="360"/>
      </w:pPr>
      <w:rPr>
        <w:rFonts w:ascii="Times New Roman" w:hAnsi="Times New Roman" w:cs="Times New Roman"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7B546AA"/>
    <w:multiLevelType w:val="hybridMultilevel"/>
    <w:tmpl w:val="4D762E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0CF0BC5"/>
    <w:multiLevelType w:val="hybridMultilevel"/>
    <w:tmpl w:val="4E9E6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07575A"/>
    <w:multiLevelType w:val="hybridMultilevel"/>
    <w:tmpl w:val="CFEE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63F70"/>
    <w:multiLevelType w:val="hybridMultilevel"/>
    <w:tmpl w:val="6C5A4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429C8"/>
    <w:multiLevelType w:val="hybridMultilevel"/>
    <w:tmpl w:val="F7DC5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8"/>
  </w:num>
  <w:num w:numId="6">
    <w:abstractNumId w:val="9"/>
  </w:num>
  <w:num w:numId="7">
    <w:abstractNumId w:val="14"/>
  </w:num>
  <w:num w:numId="8">
    <w:abstractNumId w:val="2"/>
  </w:num>
  <w:num w:numId="9">
    <w:abstractNumId w:val="11"/>
  </w:num>
  <w:num w:numId="10">
    <w:abstractNumId w:val="12"/>
  </w:num>
  <w:num w:numId="11">
    <w:abstractNumId w:val="13"/>
  </w:num>
  <w:num w:numId="12">
    <w:abstractNumId w:val="3"/>
  </w:num>
  <w:num w:numId="13">
    <w:abstractNumId w:val="10"/>
  </w:num>
  <w:num w:numId="14">
    <w:abstractNumId w:val="5"/>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ch, Shawn">
    <w15:presenceInfo w15:providerId="None" w15:userId="Lynch, 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F6"/>
    <w:rsid w:val="00004A1C"/>
    <w:rsid w:val="00075434"/>
    <w:rsid w:val="000A3B29"/>
    <w:rsid w:val="000F046E"/>
    <w:rsid w:val="001008E7"/>
    <w:rsid w:val="00117748"/>
    <w:rsid w:val="001401EE"/>
    <w:rsid w:val="001428A2"/>
    <w:rsid w:val="00151281"/>
    <w:rsid w:val="0016683B"/>
    <w:rsid w:val="0017411D"/>
    <w:rsid w:val="00194484"/>
    <w:rsid w:val="001C5F98"/>
    <w:rsid w:val="001D0563"/>
    <w:rsid w:val="001E378A"/>
    <w:rsid w:val="001F5BC4"/>
    <w:rsid w:val="00213101"/>
    <w:rsid w:val="00255178"/>
    <w:rsid w:val="00265F4C"/>
    <w:rsid w:val="002725BE"/>
    <w:rsid w:val="00273BFF"/>
    <w:rsid w:val="002A043C"/>
    <w:rsid w:val="002B0ABF"/>
    <w:rsid w:val="003270DA"/>
    <w:rsid w:val="00340877"/>
    <w:rsid w:val="003525A5"/>
    <w:rsid w:val="00355AFB"/>
    <w:rsid w:val="004019DF"/>
    <w:rsid w:val="00444C25"/>
    <w:rsid w:val="0046149F"/>
    <w:rsid w:val="004700CF"/>
    <w:rsid w:val="0049597F"/>
    <w:rsid w:val="004A7BAF"/>
    <w:rsid w:val="004B4934"/>
    <w:rsid w:val="004C50F6"/>
    <w:rsid w:val="004D01C4"/>
    <w:rsid w:val="004D6C52"/>
    <w:rsid w:val="004F1111"/>
    <w:rsid w:val="00511C9B"/>
    <w:rsid w:val="005342E0"/>
    <w:rsid w:val="00554EA8"/>
    <w:rsid w:val="0058526B"/>
    <w:rsid w:val="005E3008"/>
    <w:rsid w:val="00652540"/>
    <w:rsid w:val="00653DF8"/>
    <w:rsid w:val="0067286E"/>
    <w:rsid w:val="006C75D7"/>
    <w:rsid w:val="006E0DEC"/>
    <w:rsid w:val="00722F77"/>
    <w:rsid w:val="007270B3"/>
    <w:rsid w:val="00737623"/>
    <w:rsid w:val="00754980"/>
    <w:rsid w:val="00763A97"/>
    <w:rsid w:val="0078304B"/>
    <w:rsid w:val="007868DE"/>
    <w:rsid w:val="008106AA"/>
    <w:rsid w:val="0083777D"/>
    <w:rsid w:val="008542F3"/>
    <w:rsid w:val="00855982"/>
    <w:rsid w:val="00855B42"/>
    <w:rsid w:val="00876E05"/>
    <w:rsid w:val="008A6115"/>
    <w:rsid w:val="008B4DA5"/>
    <w:rsid w:val="0091271C"/>
    <w:rsid w:val="009557F8"/>
    <w:rsid w:val="00970429"/>
    <w:rsid w:val="0098334D"/>
    <w:rsid w:val="009F0AA4"/>
    <w:rsid w:val="009F5253"/>
    <w:rsid w:val="00A124FD"/>
    <w:rsid w:val="00A1576C"/>
    <w:rsid w:val="00A20235"/>
    <w:rsid w:val="00A64096"/>
    <w:rsid w:val="00A92903"/>
    <w:rsid w:val="00AC5BCA"/>
    <w:rsid w:val="00AC5CFE"/>
    <w:rsid w:val="00AD7C59"/>
    <w:rsid w:val="00AE22E1"/>
    <w:rsid w:val="00B02E46"/>
    <w:rsid w:val="00B10B69"/>
    <w:rsid w:val="00B13492"/>
    <w:rsid w:val="00B31DD7"/>
    <w:rsid w:val="00B43B84"/>
    <w:rsid w:val="00B85FCA"/>
    <w:rsid w:val="00BB7EEB"/>
    <w:rsid w:val="00C22342"/>
    <w:rsid w:val="00C278F8"/>
    <w:rsid w:val="00C42826"/>
    <w:rsid w:val="00C50AA7"/>
    <w:rsid w:val="00C5626E"/>
    <w:rsid w:val="00C87D4A"/>
    <w:rsid w:val="00CA654C"/>
    <w:rsid w:val="00CB23DA"/>
    <w:rsid w:val="00CE15B9"/>
    <w:rsid w:val="00D35EEB"/>
    <w:rsid w:val="00D862C1"/>
    <w:rsid w:val="00D96964"/>
    <w:rsid w:val="00DB7A87"/>
    <w:rsid w:val="00DC6B4D"/>
    <w:rsid w:val="00DD3AF3"/>
    <w:rsid w:val="00DD3D80"/>
    <w:rsid w:val="00E426CF"/>
    <w:rsid w:val="00F64449"/>
    <w:rsid w:val="00F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BB2A"/>
  <w15:docId w15:val="{9576DBFE-FB65-41F9-8E71-32C76BE6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5B9"/>
  </w:style>
  <w:style w:type="paragraph" w:styleId="Heading1">
    <w:name w:val="heading 1"/>
    <w:basedOn w:val="Normal"/>
    <w:next w:val="Normal"/>
    <w:link w:val="Heading1Char"/>
    <w:qFormat/>
    <w:rsid w:val="00D35E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5AFB"/>
    <w:pPr>
      <w:framePr w:w="7920" w:h="1980" w:hRule="exact" w:hSpace="180" w:wrap="auto" w:hAnchor="page" w:xAlign="center" w:yAlign="bottom"/>
      <w:ind w:left="2880"/>
    </w:pPr>
    <w:rPr>
      <w:rFonts w:eastAsiaTheme="majorEastAsia" w:cstheme="majorBidi"/>
      <w:szCs w:val="24"/>
    </w:rPr>
  </w:style>
  <w:style w:type="paragraph" w:styleId="BalloonText">
    <w:name w:val="Balloon Text"/>
    <w:basedOn w:val="Normal"/>
    <w:link w:val="BalloonTextChar"/>
    <w:uiPriority w:val="99"/>
    <w:semiHidden/>
    <w:unhideWhenUsed/>
    <w:rsid w:val="004C50F6"/>
    <w:rPr>
      <w:rFonts w:ascii="Tahoma" w:hAnsi="Tahoma" w:cs="Tahoma"/>
      <w:sz w:val="16"/>
      <w:szCs w:val="16"/>
    </w:rPr>
  </w:style>
  <w:style w:type="character" w:customStyle="1" w:styleId="BalloonTextChar">
    <w:name w:val="Balloon Text Char"/>
    <w:basedOn w:val="DefaultParagraphFont"/>
    <w:link w:val="BalloonText"/>
    <w:uiPriority w:val="99"/>
    <w:semiHidden/>
    <w:rsid w:val="004C50F6"/>
    <w:rPr>
      <w:rFonts w:ascii="Tahoma" w:hAnsi="Tahoma" w:cs="Tahoma"/>
      <w:sz w:val="16"/>
      <w:szCs w:val="16"/>
    </w:rPr>
  </w:style>
  <w:style w:type="paragraph" w:styleId="Header">
    <w:name w:val="header"/>
    <w:basedOn w:val="Normal"/>
    <w:link w:val="HeaderChar"/>
    <w:uiPriority w:val="99"/>
    <w:unhideWhenUsed/>
    <w:rsid w:val="00B10B69"/>
    <w:pPr>
      <w:tabs>
        <w:tab w:val="center" w:pos="4680"/>
        <w:tab w:val="right" w:pos="9360"/>
      </w:tabs>
    </w:pPr>
  </w:style>
  <w:style w:type="character" w:customStyle="1" w:styleId="HeaderChar">
    <w:name w:val="Header Char"/>
    <w:basedOn w:val="DefaultParagraphFont"/>
    <w:link w:val="Header"/>
    <w:uiPriority w:val="99"/>
    <w:rsid w:val="00B10B69"/>
  </w:style>
  <w:style w:type="paragraph" w:styleId="Footer">
    <w:name w:val="footer"/>
    <w:basedOn w:val="Normal"/>
    <w:link w:val="FooterChar"/>
    <w:uiPriority w:val="99"/>
    <w:unhideWhenUsed/>
    <w:rsid w:val="00B10B69"/>
    <w:pPr>
      <w:tabs>
        <w:tab w:val="center" w:pos="4680"/>
        <w:tab w:val="right" w:pos="9360"/>
      </w:tabs>
    </w:pPr>
  </w:style>
  <w:style w:type="character" w:customStyle="1" w:styleId="FooterChar">
    <w:name w:val="Footer Char"/>
    <w:basedOn w:val="DefaultParagraphFont"/>
    <w:link w:val="Footer"/>
    <w:uiPriority w:val="99"/>
    <w:rsid w:val="00B10B69"/>
  </w:style>
  <w:style w:type="table" w:styleId="TableGrid">
    <w:name w:val="Table Grid"/>
    <w:basedOn w:val="TableNormal"/>
    <w:uiPriority w:val="59"/>
    <w:rsid w:val="005E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8E7"/>
    <w:pPr>
      <w:ind w:left="720"/>
      <w:contextualSpacing/>
    </w:pPr>
  </w:style>
  <w:style w:type="character" w:styleId="CommentReference">
    <w:name w:val="annotation reference"/>
    <w:basedOn w:val="DefaultParagraphFont"/>
    <w:uiPriority w:val="99"/>
    <w:semiHidden/>
    <w:unhideWhenUsed/>
    <w:rsid w:val="00340877"/>
    <w:rPr>
      <w:sz w:val="16"/>
      <w:szCs w:val="16"/>
    </w:rPr>
  </w:style>
  <w:style w:type="paragraph" w:styleId="CommentText">
    <w:name w:val="annotation text"/>
    <w:basedOn w:val="Normal"/>
    <w:link w:val="CommentTextChar"/>
    <w:uiPriority w:val="99"/>
    <w:semiHidden/>
    <w:unhideWhenUsed/>
    <w:rsid w:val="00340877"/>
    <w:rPr>
      <w:sz w:val="20"/>
      <w:szCs w:val="20"/>
    </w:rPr>
  </w:style>
  <w:style w:type="character" w:customStyle="1" w:styleId="CommentTextChar">
    <w:name w:val="Comment Text Char"/>
    <w:basedOn w:val="DefaultParagraphFont"/>
    <w:link w:val="CommentText"/>
    <w:uiPriority w:val="99"/>
    <w:semiHidden/>
    <w:rsid w:val="00340877"/>
    <w:rPr>
      <w:sz w:val="20"/>
      <w:szCs w:val="20"/>
    </w:rPr>
  </w:style>
  <w:style w:type="paragraph" w:styleId="CommentSubject">
    <w:name w:val="annotation subject"/>
    <w:basedOn w:val="CommentText"/>
    <w:next w:val="CommentText"/>
    <w:link w:val="CommentSubjectChar"/>
    <w:uiPriority w:val="99"/>
    <w:semiHidden/>
    <w:unhideWhenUsed/>
    <w:rsid w:val="00340877"/>
    <w:rPr>
      <w:b/>
      <w:bCs/>
    </w:rPr>
  </w:style>
  <w:style w:type="character" w:customStyle="1" w:styleId="CommentSubjectChar">
    <w:name w:val="Comment Subject Char"/>
    <w:basedOn w:val="CommentTextChar"/>
    <w:link w:val="CommentSubject"/>
    <w:uiPriority w:val="99"/>
    <w:semiHidden/>
    <w:rsid w:val="00340877"/>
    <w:rPr>
      <w:b/>
      <w:bCs/>
      <w:sz w:val="20"/>
      <w:szCs w:val="20"/>
    </w:rPr>
  </w:style>
  <w:style w:type="paragraph" w:styleId="NormalWeb">
    <w:name w:val="Normal (Web)"/>
    <w:basedOn w:val="Normal"/>
    <w:unhideWhenUsed/>
    <w:rsid w:val="004F1111"/>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4F1111"/>
    <w:rPr>
      <w:color w:val="0000FF" w:themeColor="hyperlink"/>
      <w:u w:val="single"/>
    </w:rPr>
  </w:style>
  <w:style w:type="character" w:customStyle="1" w:styleId="Heading1Char">
    <w:name w:val="Heading 1 Char"/>
    <w:basedOn w:val="DefaultParagraphFont"/>
    <w:link w:val="Heading1"/>
    <w:rsid w:val="00D35EEB"/>
    <w:rPr>
      <w:rFonts w:eastAsia="Times New Roman" w:cs="Times New Roman"/>
      <w:b/>
      <w:szCs w:val="24"/>
    </w:rPr>
  </w:style>
  <w:style w:type="paragraph" w:customStyle="1" w:styleId="FreeForm">
    <w:name w:val="Free Form"/>
    <w:rsid w:val="00D35EEB"/>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file:///P:\Logo\Sized%20Logos\School%20Documents\AACSLogo_AddressBlock_1.09x2.37_300DPI_color.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30CF158692B4085E3A027CD76EF8B" ma:contentTypeVersion="16" ma:contentTypeDescription="Create a new document." ma:contentTypeScope="" ma:versionID="f70d1f2a4e32ff8449963738630777fd">
  <xsd:schema xmlns:xsd="http://www.w3.org/2001/XMLSchema" xmlns:xs="http://www.w3.org/2001/XMLSchema" xmlns:p="http://schemas.microsoft.com/office/2006/metadata/properties" xmlns:ns3="d486760d-116c-4d50-9930-5833924da8fb" xmlns:ns4="6b37f1a4-9085-4820-b770-0b0cf21194cd" targetNamespace="http://schemas.microsoft.com/office/2006/metadata/properties" ma:root="true" ma:fieldsID="b43947d76165f5b581fee1e5a3d06bb8" ns3:_="" ns4:_="">
    <xsd:import namespace="d486760d-116c-4d50-9930-5833924da8fb"/>
    <xsd:import namespace="6b37f1a4-9085-4820-b770-0b0cf21194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6760d-116c-4d50-9930-5833924d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7f1a4-9085-4820-b770-0b0cf21194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86760d-116c-4d50-9930-5833924da8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C2F6-FFBE-4EC2-8C5F-25316A1B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6760d-116c-4d50-9930-5833924da8fb"/>
    <ds:schemaRef ds:uri="6b37f1a4-9085-4820-b770-0b0cf2119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F9DE2-84BC-4DC2-A88B-847D35930404}">
  <ds:schemaRefs>
    <ds:schemaRef ds:uri="http://schemas.microsoft.com/sharepoint/v3/contenttype/forms"/>
  </ds:schemaRefs>
</ds:datastoreItem>
</file>

<file path=customXml/itemProps3.xml><?xml version="1.0" encoding="utf-8"?>
<ds:datastoreItem xmlns:ds="http://schemas.openxmlformats.org/officeDocument/2006/customXml" ds:itemID="{71F3CF51-1EF7-4CC9-B100-5B45777E0800}">
  <ds:schemaRefs>
    <ds:schemaRef ds:uri="http://schemas.microsoft.com/office/2006/metadata/properties"/>
    <ds:schemaRef ds:uri="http://schemas.microsoft.com/office/2006/documentManagement/types"/>
    <ds:schemaRef ds:uri="http://purl.org/dc/elements/1.1/"/>
    <ds:schemaRef ds:uri="6b37f1a4-9085-4820-b770-0b0cf21194cd"/>
    <ds:schemaRef ds:uri="http://purl.org/dc/dcmitype/"/>
    <ds:schemaRef ds:uri="d486760d-116c-4d50-9930-5833924da8f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45765E-5689-411B-B09B-E12AC2DC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dbirkas</dc:creator>
  <cp:lastModifiedBy>Mary Gotzon</cp:lastModifiedBy>
  <cp:revision>2</cp:revision>
  <cp:lastPrinted>2019-01-11T12:58:00Z</cp:lastPrinted>
  <dcterms:created xsi:type="dcterms:W3CDTF">2023-10-24T17:34:00Z</dcterms:created>
  <dcterms:modified xsi:type="dcterms:W3CDTF">2023-10-24T17:34:00Z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0x01010006F30CF158692B4085E3A027CD76EF8B</vt:lpwstr>
  </property>
</Properties>
</file>